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D16A42" w:rsidRDefault="0000000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OPEN CALL</w:t>
      </w:r>
    </w:p>
    <w:p w:rsidR="00D16A42" w:rsidRDefault="00D16A42">
      <w:pPr>
        <w:jc w:val="center"/>
        <w:rPr>
          <w:b/>
          <w:sz w:val="36"/>
          <w:szCs w:val="36"/>
        </w:rPr>
      </w:pPr>
    </w:p>
    <w:p w:rsidR="00D16A42" w:rsidRDefault="00000000">
      <w:pPr>
        <w:jc w:val="center"/>
        <w:rPr>
          <w:b/>
          <w:sz w:val="62"/>
          <w:szCs w:val="62"/>
        </w:rPr>
      </w:pPr>
      <w:r>
        <w:rPr>
          <w:b/>
          <w:sz w:val="62"/>
          <w:szCs w:val="62"/>
        </w:rPr>
        <w:t xml:space="preserve"> LCL</w:t>
      </w:r>
    </w:p>
    <w:p w:rsidR="00D16A42" w:rsidRDefault="00C23291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L</w:t>
      </w:r>
      <w:r w:rsidR="00000000">
        <w:rPr>
          <w:b/>
          <w:sz w:val="36"/>
          <w:szCs w:val="36"/>
        </w:rPr>
        <w:t xml:space="preserve">inka C </w:t>
      </w:r>
      <w:r>
        <w:rPr>
          <w:b/>
          <w:sz w:val="36"/>
          <w:szCs w:val="36"/>
        </w:rPr>
        <w:t xml:space="preserve">50 </w:t>
      </w:r>
    </w:p>
    <w:p w:rsidR="00D16A42" w:rsidRDefault="00D16A42">
      <w:pPr>
        <w:jc w:val="center"/>
        <w:rPr>
          <w:b/>
          <w:sz w:val="36"/>
          <w:szCs w:val="36"/>
        </w:rPr>
      </w:pPr>
    </w:p>
    <w:p w:rsidR="00D16A42" w:rsidRDefault="00000000">
      <w:pPr>
        <w:jc w:val="center"/>
      </w:pPr>
      <w:r>
        <w:t>ze dne 2</w:t>
      </w:r>
      <w:r w:rsidR="00CB29EC">
        <w:t>8</w:t>
      </w:r>
      <w:r>
        <w:t>. 5. 2024</w:t>
      </w:r>
    </w:p>
    <w:p w:rsidR="00D16A42" w:rsidRDefault="00D16A42">
      <w:pPr>
        <w:jc w:val="both"/>
      </w:pPr>
    </w:p>
    <w:p w:rsidR="00D16A42" w:rsidRDefault="00000000">
      <w:pPr>
        <w:jc w:val="both"/>
      </w:pPr>
      <w:r>
        <w:t>U příležitosti výročí 50 let od otevření první linky pražského metra vyhlašuje Galerie hlavního města Prahy ve spolupráci s Dopravním podnikem otevřenou neanonymní dvoukolovou výzvu na návrhy a realizaci dočasných uměleckých objektů, drobných umělecko-architektonických zásahů nebo performativních či umělecko-výzkumných intervencí pro prostranství stanic linky metra C.</w:t>
      </w:r>
    </w:p>
    <w:p w:rsidR="00D16A42" w:rsidRDefault="00D16A42">
      <w:pPr>
        <w:jc w:val="both"/>
        <w:rPr>
          <w:b/>
        </w:rPr>
      </w:pPr>
    </w:p>
    <w:p w:rsidR="00D16A42" w:rsidRDefault="00000000">
      <w:pPr>
        <w:jc w:val="both"/>
        <w:rPr>
          <w:b/>
        </w:rPr>
      </w:pPr>
      <w:r>
        <w:rPr>
          <w:b/>
        </w:rPr>
        <w:t>Termín realizace vítězných návrhů je možný od 15. 9. 2024 do 30. 12. 2024 podle typu a náročnosti návrhů.</w:t>
      </w:r>
    </w:p>
    <w:p w:rsidR="00D16A42" w:rsidRDefault="00D16A42">
      <w:pPr>
        <w:jc w:val="both"/>
      </w:pPr>
    </w:p>
    <w:p w:rsidR="00D16A42" w:rsidRDefault="00000000">
      <w:pPr>
        <w:jc w:val="both"/>
      </w:pPr>
      <w:r>
        <w:rPr>
          <w:b/>
        </w:rPr>
        <w:t>MÍSTA:</w:t>
      </w:r>
    </w:p>
    <w:p w:rsidR="00D16A42" w:rsidRDefault="00000000">
      <w:pPr>
        <w:numPr>
          <w:ilvl w:val="0"/>
          <w:numId w:val="3"/>
        </w:numPr>
        <w:jc w:val="both"/>
      </w:pPr>
      <w:r>
        <w:t>Kačerov</w:t>
      </w:r>
    </w:p>
    <w:p w:rsidR="00D16A42" w:rsidRDefault="00000000">
      <w:pPr>
        <w:jc w:val="both"/>
      </w:pPr>
      <w:r>
        <w:t xml:space="preserve">      -</w:t>
      </w:r>
      <w:r>
        <w:tab/>
        <w:t>Budějovická</w:t>
      </w:r>
    </w:p>
    <w:p w:rsidR="00D16A42" w:rsidRDefault="00000000">
      <w:pPr>
        <w:numPr>
          <w:ilvl w:val="0"/>
          <w:numId w:val="2"/>
        </w:numPr>
        <w:jc w:val="both"/>
      </w:pPr>
      <w:r>
        <w:t>Pražského povstání</w:t>
      </w:r>
    </w:p>
    <w:p w:rsidR="00D16A42" w:rsidRDefault="00000000">
      <w:pPr>
        <w:numPr>
          <w:ilvl w:val="0"/>
          <w:numId w:val="2"/>
        </w:numPr>
        <w:jc w:val="both"/>
      </w:pPr>
      <w:r>
        <w:t>Vyšehrad</w:t>
      </w:r>
    </w:p>
    <w:p w:rsidR="00D16A42" w:rsidRDefault="00000000">
      <w:pPr>
        <w:numPr>
          <w:ilvl w:val="0"/>
          <w:numId w:val="2"/>
        </w:numPr>
        <w:jc w:val="both"/>
      </w:pPr>
      <w:r>
        <w:t>I. P. Pavlova</w:t>
      </w:r>
    </w:p>
    <w:p w:rsidR="00D16A42" w:rsidRDefault="00D16A42">
      <w:pPr>
        <w:jc w:val="both"/>
      </w:pPr>
    </w:p>
    <w:p w:rsidR="00D16A42" w:rsidRDefault="00000000">
      <w:pPr>
        <w:jc w:val="both"/>
        <w:rPr>
          <w:b/>
        </w:rPr>
      </w:pPr>
      <w:r>
        <w:rPr>
          <w:b/>
        </w:rPr>
        <w:t>KOMU JE VÝZVA URČENA:</w:t>
      </w:r>
    </w:p>
    <w:p w:rsidR="00D16A42" w:rsidRDefault="00D16A42">
      <w:pPr>
        <w:jc w:val="both"/>
      </w:pPr>
    </w:p>
    <w:p w:rsidR="00D16A42" w:rsidRDefault="00000000">
      <w:pPr>
        <w:jc w:val="both"/>
      </w:pPr>
      <w:r>
        <w:t>Umělkyním a umělcům, architektkám a architektům, designérkám, designérům…</w:t>
      </w:r>
    </w:p>
    <w:p w:rsidR="00D16A42" w:rsidRDefault="00D16A42">
      <w:pPr>
        <w:jc w:val="both"/>
      </w:pPr>
    </w:p>
    <w:p w:rsidR="00D16A42" w:rsidRDefault="00000000">
      <w:pPr>
        <w:jc w:val="both"/>
        <w:rPr>
          <w:b/>
        </w:rPr>
      </w:pPr>
      <w:r>
        <w:rPr>
          <w:b/>
        </w:rPr>
        <w:t>LHŮTA PRO DORUČENÍ PŘIHLÁŠEK A POŽADAVKY PRO 1. KOLO:</w:t>
      </w:r>
    </w:p>
    <w:p w:rsidR="00D16A42" w:rsidRDefault="00D16A42">
      <w:pPr>
        <w:jc w:val="both"/>
        <w:rPr>
          <w:b/>
        </w:rPr>
      </w:pPr>
    </w:p>
    <w:p w:rsidR="00D16A42" w:rsidRDefault="00000000">
      <w:pPr>
        <w:numPr>
          <w:ilvl w:val="0"/>
          <w:numId w:val="4"/>
        </w:numPr>
        <w:jc w:val="both"/>
      </w:pPr>
      <w:r>
        <w:t xml:space="preserve">Kdykoli </w:t>
      </w:r>
      <w:r>
        <w:rPr>
          <w:b/>
        </w:rPr>
        <w:t xml:space="preserve">do </w:t>
      </w:r>
      <w:r w:rsidR="004D48B8">
        <w:rPr>
          <w:b/>
        </w:rPr>
        <w:t>25</w:t>
      </w:r>
      <w:r>
        <w:rPr>
          <w:b/>
        </w:rPr>
        <w:t>.</w:t>
      </w:r>
      <w:r w:rsidR="004D48B8">
        <w:rPr>
          <w:b/>
        </w:rPr>
        <w:t xml:space="preserve"> </w:t>
      </w:r>
      <w:r>
        <w:rPr>
          <w:b/>
        </w:rPr>
        <w:t xml:space="preserve">7. 2024 (do 24 hodin) </w:t>
      </w:r>
      <w:r>
        <w:t xml:space="preserve">zasílejte vyplněné přihlášky a povinné přílohy na adresu: </w:t>
      </w:r>
      <w:hyperlink r:id="rId6">
        <w:r>
          <w:rPr>
            <w:color w:val="1155CC"/>
            <w:u w:val="single"/>
          </w:rPr>
          <w:t>umenipromesto@ghmp.cz</w:t>
        </w:r>
      </w:hyperlink>
    </w:p>
    <w:p w:rsidR="00D16A42" w:rsidRDefault="00000000">
      <w:pPr>
        <w:numPr>
          <w:ilvl w:val="0"/>
          <w:numId w:val="4"/>
        </w:numPr>
        <w:jc w:val="both"/>
      </w:pPr>
      <w:r>
        <w:t>Na každou intervenci k jedné stanici metra linky C bude uchazeč/</w:t>
      </w:r>
      <w:proofErr w:type="spellStart"/>
      <w:r>
        <w:t>ka</w:t>
      </w:r>
      <w:proofErr w:type="spellEnd"/>
      <w:r>
        <w:t xml:space="preserve"> podávat maximálně jeden návrh s přihláškou a požadovanými přílohami.</w:t>
      </w:r>
    </w:p>
    <w:p w:rsidR="00D16A42" w:rsidRDefault="00000000">
      <w:pPr>
        <w:numPr>
          <w:ilvl w:val="0"/>
          <w:numId w:val="4"/>
        </w:numPr>
        <w:jc w:val="both"/>
      </w:pPr>
      <w:r>
        <w:t xml:space="preserve">Preferujeme zasílání podkladů ve formátu PDF nebo JPG do velikosti příloh 10 </w:t>
      </w:r>
      <w:proofErr w:type="spellStart"/>
      <w:r>
        <w:t>Mb</w:t>
      </w:r>
      <w:proofErr w:type="spellEnd"/>
      <w:r>
        <w:t>.</w:t>
      </w:r>
    </w:p>
    <w:p w:rsidR="00D16A42" w:rsidRDefault="00D16A42">
      <w:pPr>
        <w:jc w:val="both"/>
      </w:pPr>
    </w:p>
    <w:p w:rsidR="00D16A42" w:rsidRDefault="00000000">
      <w:pPr>
        <w:jc w:val="both"/>
        <w:rPr>
          <w:b/>
        </w:rPr>
      </w:pPr>
      <w:r>
        <w:rPr>
          <w:b/>
        </w:rPr>
        <w:t>PARAMETRY PŘEDKLÁDANÉHO NÁVRHU V 1. KOLE:</w:t>
      </w:r>
    </w:p>
    <w:p w:rsidR="00D16A42" w:rsidRDefault="00D16A42">
      <w:pPr>
        <w:jc w:val="both"/>
      </w:pPr>
    </w:p>
    <w:p w:rsidR="00D16A42" w:rsidRDefault="00000000">
      <w:pPr>
        <w:jc w:val="both"/>
      </w:pPr>
      <w:r>
        <w:t>•</w:t>
      </w:r>
      <w:r>
        <w:tab/>
        <w:t>Ideový návrh/vize projektu, intervence nebo dialog s uměleckými díly, intervence do přilehlého veřejného prostranství (plochy nebo parcely ve správě DP) v délce max. 1200 znaků včetně mezer</w:t>
      </w:r>
    </w:p>
    <w:p w:rsidR="00D16A42" w:rsidRDefault="00D16A42">
      <w:pPr>
        <w:jc w:val="both"/>
      </w:pPr>
    </w:p>
    <w:p w:rsidR="00D16A42" w:rsidRDefault="00000000">
      <w:pPr>
        <w:jc w:val="both"/>
      </w:pPr>
      <w:r>
        <w:lastRenderedPageBreak/>
        <w:t>•</w:t>
      </w:r>
      <w:r>
        <w:tab/>
        <w:t xml:space="preserve">Návrh umělecké intervence (anotace, bodový scénář, skica, náčrt, případně video či </w:t>
      </w:r>
      <w:proofErr w:type="gramStart"/>
      <w:r>
        <w:t>audionahrávka….</w:t>
      </w:r>
      <w:proofErr w:type="gramEnd"/>
      <w:r>
        <w:t>).</w:t>
      </w:r>
    </w:p>
    <w:p w:rsidR="00D16A42" w:rsidRDefault="00000000">
      <w:pPr>
        <w:jc w:val="both"/>
        <w:rPr>
          <w:b/>
        </w:rPr>
      </w:pPr>
      <w:r>
        <w:rPr>
          <w:b/>
        </w:rPr>
        <w:t>POVINNÉ PŘÍLOHY:</w:t>
      </w:r>
    </w:p>
    <w:p w:rsidR="00D16A42" w:rsidRDefault="00D16A42">
      <w:pPr>
        <w:jc w:val="both"/>
      </w:pPr>
    </w:p>
    <w:p w:rsidR="00D16A42" w:rsidRDefault="00000000">
      <w:pPr>
        <w:numPr>
          <w:ilvl w:val="0"/>
          <w:numId w:val="1"/>
        </w:numPr>
        <w:jc w:val="both"/>
      </w:pPr>
      <w:r>
        <w:t>Formulář přihlášky</w:t>
      </w:r>
    </w:p>
    <w:p w:rsidR="00D16A42" w:rsidRDefault="00000000">
      <w:pPr>
        <w:numPr>
          <w:ilvl w:val="0"/>
          <w:numId w:val="1"/>
        </w:numPr>
        <w:jc w:val="both"/>
      </w:pPr>
      <w:r>
        <w:t>Položkový rozpočet odhadovaných nákladů včetně autorského honoráře</w:t>
      </w:r>
    </w:p>
    <w:p w:rsidR="00D16A42" w:rsidRDefault="00000000">
      <w:pPr>
        <w:numPr>
          <w:ilvl w:val="0"/>
          <w:numId w:val="1"/>
        </w:numPr>
        <w:jc w:val="both"/>
      </w:pPr>
      <w:r>
        <w:t>Portfolio s ukázkami vlastního autorského přístupu k veřejnému prostoru</w:t>
      </w:r>
    </w:p>
    <w:p w:rsidR="00D16A42" w:rsidRDefault="00D16A42">
      <w:pPr>
        <w:jc w:val="both"/>
      </w:pPr>
    </w:p>
    <w:p w:rsidR="00D16A42" w:rsidRDefault="00D16A42">
      <w:pPr>
        <w:jc w:val="both"/>
      </w:pPr>
    </w:p>
    <w:p w:rsidR="00D16A42" w:rsidRDefault="00000000">
      <w:pPr>
        <w:jc w:val="both"/>
        <w:rPr>
          <w:b/>
        </w:rPr>
      </w:pPr>
      <w:r>
        <w:rPr>
          <w:b/>
        </w:rPr>
        <w:t>ZADÁNÍ VÝZVY:</w:t>
      </w:r>
    </w:p>
    <w:p w:rsidR="00D16A42" w:rsidRDefault="00D16A42">
      <w:pPr>
        <w:jc w:val="both"/>
        <w:rPr>
          <w:b/>
        </w:rPr>
      </w:pPr>
    </w:p>
    <w:p w:rsidR="00D16A42" w:rsidRDefault="00000000">
      <w:pPr>
        <w:jc w:val="both"/>
        <w:rPr>
          <w:i/>
        </w:rPr>
      </w:pPr>
      <w:r>
        <w:rPr>
          <w:i/>
        </w:rPr>
        <w:t>„Co je dnes pro nás metro? Jaký k němu máme vztah? Jak se v něm cítíme?”</w:t>
      </w:r>
    </w:p>
    <w:p w:rsidR="00D16A42" w:rsidRDefault="00D16A42">
      <w:pPr>
        <w:jc w:val="both"/>
        <w:rPr>
          <w:i/>
        </w:rPr>
      </w:pPr>
    </w:p>
    <w:p w:rsidR="00D16A42" w:rsidRDefault="00000000">
      <w:pPr>
        <w:jc w:val="both"/>
        <w:rPr>
          <w:u w:val="single"/>
        </w:rPr>
      </w:pPr>
      <w:r>
        <w:rPr>
          <w:u w:val="single"/>
        </w:rPr>
        <w:t>Libreto výzvy:</w:t>
      </w:r>
    </w:p>
    <w:p w:rsidR="00D16A42" w:rsidRDefault="00D16A42">
      <w:pPr>
        <w:jc w:val="both"/>
        <w:rPr>
          <w:u w:val="single"/>
        </w:rPr>
      </w:pPr>
    </w:p>
    <w:p w:rsidR="00D16A42" w:rsidRDefault="00000000">
      <w:pPr>
        <w:jc w:val="both"/>
      </w:pPr>
      <w:r>
        <w:t>U příležitosti 50. výročí zahájení provozu na trase C I chceme vyzvat současné umělce a umělkyně, tvůrce a tvůrkyně k pozitivnímu dialogu jejich umělecké tvorby s vrstvou tvorby předchůdců, kteří dostali před 50 lety možnost uplatnit svá díla ve veřejném prostoru metra. Míra dnešní svobody uměleckého a tvůrčího projevu je nesrovnatelná s omezenými možnostmi uměleckého vyjádření v režimem kontrolovaných uměleckých dílech ze 70. let 20. století.</w:t>
      </w:r>
    </w:p>
    <w:p w:rsidR="00D16A42" w:rsidRDefault="00D16A42">
      <w:pPr>
        <w:jc w:val="both"/>
      </w:pPr>
    </w:p>
    <w:p w:rsidR="00D16A42" w:rsidRDefault="00000000">
      <w:pPr>
        <w:jc w:val="both"/>
      </w:pPr>
      <w:r>
        <w:t>Dnešní doba však také přináší svá omezení, tabu a (sebe)cenzuru. Možná právě neuchopitelnost míry svobody přináší nové nesvobody, které se ve veřejném prostoru projevují různými způsoby.</w:t>
      </w:r>
    </w:p>
    <w:p w:rsidR="00D16A42" w:rsidRDefault="00D16A42">
      <w:pPr>
        <w:jc w:val="both"/>
      </w:pPr>
    </w:p>
    <w:p w:rsidR="00D16A42" w:rsidRDefault="00000000">
      <w:pPr>
        <w:jc w:val="both"/>
      </w:pPr>
      <w:r>
        <w:t>Záměrem projektu LCL je, aby v roce 2024 na každé stanici trasy C I vzniklo, bylo předvedeno, nebo realizováno alespoň jedno současné dílo od současných autorů. Celkový projekt má charakter průběžného uměleckého festivalu a dočasné exteriérové výstavy. Pro stanice Florenc, Hlavní nádraží a Muzeum jsou v rámci projektu organizátory/</w:t>
      </w:r>
      <w:proofErr w:type="spellStart"/>
      <w:r>
        <w:t>kami</w:t>
      </w:r>
      <w:proofErr w:type="spellEnd"/>
      <w:r>
        <w:t xml:space="preserve"> a kurátory/</w:t>
      </w:r>
      <w:proofErr w:type="spellStart"/>
      <w:r>
        <w:t>kami</w:t>
      </w:r>
      <w:proofErr w:type="spellEnd"/>
      <w:r>
        <w:t xml:space="preserve"> připravovány samostatné výstavy a dvě trvalé realizace uměleckých děl.</w:t>
      </w:r>
    </w:p>
    <w:p w:rsidR="00D16A42" w:rsidRDefault="00D16A42">
      <w:pPr>
        <w:jc w:val="both"/>
      </w:pPr>
    </w:p>
    <w:p w:rsidR="00D16A42" w:rsidRDefault="00000000">
      <w:pPr>
        <w:jc w:val="both"/>
        <w:rPr>
          <w:u w:val="single"/>
        </w:rPr>
      </w:pPr>
      <w:r>
        <w:rPr>
          <w:u w:val="single"/>
        </w:rPr>
        <w:t>Kontext:</w:t>
      </w:r>
    </w:p>
    <w:p w:rsidR="00D16A42" w:rsidRDefault="00D16A42">
      <w:pPr>
        <w:jc w:val="both"/>
        <w:rPr>
          <w:u w:val="single"/>
        </w:rPr>
      </w:pPr>
    </w:p>
    <w:p w:rsidR="00D16A42" w:rsidRDefault="00000000">
      <w:pPr>
        <w:jc w:val="both"/>
      </w:pPr>
      <w:r>
        <w:t>Stavba první části metra – trasy C I – byla zahájena v roce 1966 v úseku mezi Muzeem a Hlavním nádražím. První část metra byla slavnostně otevřena 9. května 1974. První cesta metrem vedla ze stanice Kačerov do stanice Sokolovská (dnes Florenc).</w:t>
      </w:r>
    </w:p>
    <w:p w:rsidR="00D16A42" w:rsidRDefault="00D16A42">
      <w:pPr>
        <w:jc w:val="both"/>
      </w:pPr>
    </w:p>
    <w:p w:rsidR="00D16A42" w:rsidRDefault="00000000">
      <w:pPr>
        <w:jc w:val="both"/>
      </w:pPr>
      <w:r>
        <w:t>Nelze zastřít historický fakt, že pražské metro byl politicky angažovaný projekt s důrazem na česko-sovětské přátelské vztahy a přímou spolupráci sovětských odborníků a umělců v Praze při stavbě metra.</w:t>
      </w:r>
    </w:p>
    <w:p w:rsidR="00D16A42" w:rsidRDefault="00D16A42">
      <w:pPr>
        <w:jc w:val="both"/>
      </w:pPr>
    </w:p>
    <w:p w:rsidR="00D16A42" w:rsidRDefault="00000000">
      <w:pPr>
        <w:jc w:val="both"/>
      </w:pPr>
      <w:r>
        <w:t>Že bude pražské metro kromě dopravní funkce také reprezentativním prostorem s uměleckými díly tehdejších umělců bylo jasné už po polovině šedesátých let, kdy probíhaly soutěže na výzdobu řady souvisejících prostorů, např. podchodu pod Václavským náměstím, v nichž zvítězili i umělci, kteří se svou volnou tvorbou nemohli prezentovat. Po roce 1970 však byly vypsány nové soutěže s novými tématy v souvislosti se změnou názvu řady stanic.</w:t>
      </w:r>
    </w:p>
    <w:p w:rsidR="00D16A42" w:rsidRDefault="00000000">
      <w:pPr>
        <w:jc w:val="both"/>
      </w:pPr>
      <w:r>
        <w:lastRenderedPageBreak/>
        <w:t xml:space="preserve">Z bezpečnostních důvodů se výtvarná díla nesměla nacházet na nástupištích ani v průchodech mezi eskalátory a mohla se objevit pouze v prostorách vestibulů, veřejných pasáží či v uliční úrovni kolem východů ze stanic. Celá řada uměleckých děl tak byla umístěna také na venkovních prostranstvích i mimo samotný vnitřní, i když veřejný, prostor metra. Byly to například </w:t>
      </w:r>
      <w:proofErr w:type="spellStart"/>
      <w:r>
        <w:rPr>
          <w:i/>
          <w:iCs/>
        </w:rPr>
        <w:t>Radiohodiny</w:t>
      </w:r>
      <w:proofErr w:type="spellEnd"/>
      <w:r>
        <w:t xml:space="preserve"> Rudolfa Svobody na Florenci, opěrná zeď Stanislava Kolíbala u dnešní stanice Vyšehrad, kašna </w:t>
      </w:r>
      <w:r>
        <w:rPr>
          <w:i/>
          <w:iCs/>
        </w:rPr>
        <w:t>Poupě</w:t>
      </w:r>
      <w:r>
        <w:t xml:space="preserve"> od Jiřího </w:t>
      </w:r>
      <w:proofErr w:type="spellStart"/>
      <w:r>
        <w:t>Kryštůfka</w:t>
      </w:r>
      <w:proofErr w:type="spellEnd"/>
      <w:r>
        <w:t xml:space="preserve"> na Kačerově a mnoho dalších. V souvislosti s výstavbou metra v Praze vzniklo 126 výtvarných realizací, z toho bylo během posledních třiceti let přes padesát z nich odstraněno, aniž by po roce 1990 vznikla nová trvalá umělecká díla určená pro pražské metro.</w:t>
      </w:r>
    </w:p>
    <w:p w:rsidR="00D16A42" w:rsidRDefault="00D16A42">
      <w:pPr>
        <w:jc w:val="both"/>
      </w:pPr>
    </w:p>
    <w:p w:rsidR="00D16A42" w:rsidRDefault="00000000">
      <w:pPr>
        <w:jc w:val="both"/>
      </w:pPr>
      <w:r>
        <w:t xml:space="preserve">Dopravní podnik hlavního města Prahy ve spolupráci s Galerií hlavního města Prahy se dlouhodobě snaží navázat na architektonické, umělecké a designérské hodnoty pražského metra a vytvořit model vhodné spolupráce odborné městské instituce s metropolitním dopravcem. V minulých letech proběhlo několik společných výstavních projektů – </w:t>
      </w:r>
      <w:hyperlink r:id="rId7">
        <w:r>
          <w:rPr>
            <w:color w:val="1155CC"/>
            <w:u w:val="single"/>
          </w:rPr>
          <w:t>Za čarou</w:t>
        </w:r>
      </w:hyperlink>
      <w:r>
        <w:t xml:space="preserve">, </w:t>
      </w:r>
      <w:hyperlink r:id="rId8">
        <w:r>
          <w:rPr>
            <w:color w:val="1155CC"/>
            <w:u w:val="single"/>
          </w:rPr>
          <w:t>Galerie Vltavská</w:t>
        </w:r>
      </w:hyperlink>
      <w:r>
        <w:t xml:space="preserve">, </w:t>
      </w:r>
      <w:hyperlink r:id="rId9">
        <w:r>
          <w:rPr>
            <w:color w:val="1155CC"/>
            <w:u w:val="single"/>
          </w:rPr>
          <w:t>Minulá budoucnost</w:t>
        </w:r>
      </w:hyperlink>
      <w:r>
        <w:t xml:space="preserve">, </w:t>
      </w:r>
      <w:hyperlink r:id="rId10">
        <w:r>
          <w:rPr>
            <w:color w:val="1155CC"/>
            <w:u w:val="single"/>
          </w:rPr>
          <w:t>velkoplošné malby</w:t>
        </w:r>
      </w:hyperlink>
      <w:r>
        <w:t>.</w:t>
      </w:r>
    </w:p>
    <w:p w:rsidR="00D16A42" w:rsidRDefault="00D16A42">
      <w:pPr>
        <w:jc w:val="both"/>
      </w:pPr>
    </w:p>
    <w:p w:rsidR="00D16A42" w:rsidRDefault="00000000">
      <w:pPr>
        <w:jc w:val="both"/>
      </w:pPr>
      <w:r>
        <w:t xml:space="preserve">Loňským vítězem loni vypsaného soutěžního dialogu Světlo pro metro se stal český umělec Jan </w:t>
      </w:r>
      <w:proofErr w:type="spellStart"/>
      <w:r>
        <w:t>Poš</w:t>
      </w:r>
      <w:proofErr w:type="spellEnd"/>
      <w:r>
        <w:t xml:space="preserve">. Umělecké dílo s prvky světelného designu a digitálních technologií </w:t>
      </w:r>
      <w:hyperlink r:id="rId11">
        <w:r>
          <w:rPr>
            <w:i/>
            <w:iCs/>
            <w:color w:val="1155CC"/>
            <w:u w:val="single"/>
          </w:rPr>
          <w:t>Synapse</w:t>
        </w:r>
      </w:hyperlink>
      <w:r>
        <w:t xml:space="preserve"> bude realizováno ve vestibulu stanice Florenc do konce roku 2026.</w:t>
      </w:r>
    </w:p>
    <w:p w:rsidR="00D16A42" w:rsidRDefault="00D16A42">
      <w:pPr>
        <w:jc w:val="both"/>
        <w:rPr>
          <w:sz w:val="26"/>
          <w:szCs w:val="26"/>
        </w:rPr>
      </w:pPr>
    </w:p>
    <w:p w:rsidR="00D16A42" w:rsidRDefault="00000000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Umělecká forma navrhovaného díla:</w:t>
      </w:r>
    </w:p>
    <w:p w:rsidR="00D16A42" w:rsidRDefault="00D16A42">
      <w:pPr>
        <w:jc w:val="both"/>
        <w:rPr>
          <w:b/>
        </w:rPr>
      </w:pPr>
    </w:p>
    <w:p w:rsidR="00D16A42" w:rsidRDefault="00000000">
      <w:pPr>
        <w:jc w:val="both"/>
        <w:rPr>
          <w:b/>
        </w:rPr>
      </w:pPr>
      <w:proofErr w:type="spellStart"/>
      <w:r>
        <w:rPr>
          <w:b/>
        </w:rPr>
        <w:t>site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specific</w:t>
      </w:r>
      <w:proofErr w:type="spellEnd"/>
      <w:r>
        <w:rPr>
          <w:b/>
        </w:rPr>
        <w:t xml:space="preserve"> objektová instalace, multimediální instalace (světlo, zvuk, video…), performance, happening, konceptuální dílo, umělecký výzkum</w:t>
      </w:r>
    </w:p>
    <w:p w:rsidR="00D16A42" w:rsidRDefault="00D16A42">
      <w:pPr>
        <w:jc w:val="both"/>
        <w:rPr>
          <w:b/>
        </w:rPr>
      </w:pPr>
    </w:p>
    <w:p w:rsidR="00D16A42" w:rsidRDefault="00D16A42">
      <w:pPr>
        <w:jc w:val="both"/>
      </w:pPr>
    </w:p>
    <w:p w:rsidR="00D16A42" w:rsidRDefault="00000000">
      <w:pPr>
        <w:jc w:val="both"/>
        <w:rPr>
          <w:b/>
        </w:rPr>
      </w:pPr>
      <w:r>
        <w:rPr>
          <w:b/>
        </w:rPr>
        <w:t>PODMÍNKY:</w:t>
      </w:r>
    </w:p>
    <w:p w:rsidR="00D16A42" w:rsidRDefault="00D16A42">
      <w:pPr>
        <w:jc w:val="both"/>
      </w:pPr>
    </w:p>
    <w:p w:rsidR="00D16A42" w:rsidRDefault="00000000">
      <w:pPr>
        <w:numPr>
          <w:ilvl w:val="0"/>
          <w:numId w:val="5"/>
        </w:numPr>
        <w:jc w:val="both"/>
      </w:pPr>
      <w:r>
        <w:t>Přihláška musí být podána na každou stanici samostatně. Jeden zájemce/</w:t>
      </w:r>
      <w:proofErr w:type="spellStart"/>
      <w:r>
        <w:t>kyně</w:t>
      </w:r>
      <w:proofErr w:type="spellEnd"/>
      <w:r>
        <w:t xml:space="preserve"> může podat maximálně tři přihlášky.</w:t>
      </w:r>
    </w:p>
    <w:p w:rsidR="00D16A42" w:rsidRDefault="00000000">
      <w:pPr>
        <w:numPr>
          <w:ilvl w:val="0"/>
          <w:numId w:val="5"/>
        </w:numPr>
        <w:jc w:val="both"/>
      </w:pPr>
      <w:r>
        <w:t>Návrhy budou hodnoceny podle kritérií kvality a originality navrhované umělecké intervence a realizovatelnosti do konce roku 2024.</w:t>
      </w:r>
    </w:p>
    <w:p w:rsidR="00D16A42" w:rsidRDefault="00000000">
      <w:pPr>
        <w:numPr>
          <w:ilvl w:val="0"/>
          <w:numId w:val="5"/>
        </w:numPr>
        <w:jc w:val="both"/>
      </w:pPr>
      <w:r>
        <w:t>Návrhy musí respektovat principy otevřené a demokratické společnosti.</w:t>
      </w:r>
    </w:p>
    <w:p w:rsidR="00D16A42" w:rsidRDefault="00000000">
      <w:pPr>
        <w:numPr>
          <w:ilvl w:val="0"/>
          <w:numId w:val="5"/>
        </w:numPr>
        <w:jc w:val="both"/>
      </w:pPr>
      <w:r>
        <w:t>Předpokládáme citlivé zapojení do okolního prostředí. Žádné části intervence nesmí ohrožovat veřejnost ani dopravu.</w:t>
      </w:r>
    </w:p>
    <w:p w:rsidR="00D16A42" w:rsidRDefault="00D16A42">
      <w:pPr>
        <w:jc w:val="both"/>
      </w:pPr>
    </w:p>
    <w:p w:rsidR="00D16A42" w:rsidRDefault="00000000">
      <w:pPr>
        <w:jc w:val="both"/>
        <w:rPr>
          <w:b/>
        </w:rPr>
      </w:pPr>
      <w:r>
        <w:rPr>
          <w:b/>
        </w:rPr>
        <w:t>HODNOCENÍ 1. KOLA:</w:t>
      </w:r>
    </w:p>
    <w:p w:rsidR="00D16A42" w:rsidRDefault="00D16A42">
      <w:pPr>
        <w:jc w:val="both"/>
        <w:rPr>
          <w:b/>
        </w:rPr>
      </w:pPr>
    </w:p>
    <w:p w:rsidR="00D16A42" w:rsidRDefault="00000000">
      <w:pPr>
        <w:jc w:val="both"/>
      </w:pPr>
      <w:r>
        <w:t>Odborná komise složená ze zástupců a zástupkyň DP, GHMP a nezávislých odborníků a odbornic vybere z došlých přihlášek návrhy k dopracování a k možné realizaci.</w:t>
      </w:r>
    </w:p>
    <w:p w:rsidR="00D16A42" w:rsidRDefault="00D16A42">
      <w:pPr>
        <w:jc w:val="both"/>
      </w:pPr>
    </w:p>
    <w:p w:rsidR="00D16A42" w:rsidRDefault="00000000">
      <w:pPr>
        <w:jc w:val="both"/>
      </w:pPr>
      <w:r>
        <w:t>Při výběru bude přihlíženo k celkové dramaturgii a koncepci projektu LCL. V případě performativních nebo efemérních projektů může být pro jednu stanici vybráno i více návrhů.</w:t>
      </w:r>
    </w:p>
    <w:p w:rsidR="00D16A42" w:rsidRDefault="00D16A42">
      <w:pPr>
        <w:jc w:val="both"/>
      </w:pPr>
    </w:p>
    <w:p w:rsidR="00D16A42" w:rsidRDefault="00000000">
      <w:pPr>
        <w:jc w:val="both"/>
      </w:pPr>
      <w:r>
        <w:t>Hodnocení komise, doporučení k dopracování, úpravě záměru nebo připomínky k vybraným návrhům budou poskytnuty autorům/</w:t>
      </w:r>
      <w:proofErr w:type="spellStart"/>
      <w:r>
        <w:t>kám</w:t>
      </w:r>
      <w:proofErr w:type="spellEnd"/>
      <w:r>
        <w:t xml:space="preserve"> k následným konzultacím. Samostatně s každým z autorů/</w:t>
      </w:r>
      <w:proofErr w:type="spellStart"/>
      <w:r>
        <w:t>ek</w:t>
      </w:r>
      <w:proofErr w:type="spellEnd"/>
      <w:r>
        <w:t xml:space="preserve"> návrhů postupujících do 2. kola bude probrána detailně situace na konkrétním </w:t>
      </w:r>
      <w:r>
        <w:lastRenderedPageBreak/>
        <w:t>místě, kde by měl být jejich návrh realizován a poskytnuty podklady limitů a technických nebo administrativních omezení, aby mohl/a návrh dopracovat do finální podoby.</w:t>
      </w:r>
      <w:r w:rsidR="00DE5100">
        <w:t xml:space="preserve"> Vzhledem k technickým a provozním limitům stanic metra a samotného Dopravního podniku je nutné počítat s potřebnými kompromisy při jednáních o realizaci díla. </w:t>
      </w:r>
    </w:p>
    <w:p w:rsidR="00D16A42" w:rsidRDefault="00000000">
      <w:pPr>
        <w:jc w:val="both"/>
        <w:rPr>
          <w:b/>
        </w:rPr>
      </w:pPr>
      <w:r>
        <w:t>Případná potřeba připojení na sítě (elektřina, wifi) nebo kotvení objektu (do zdí, podlah, dláždění…) musí být posouzeny a schváleny správcem místa nebo pozemku a budou konzultovány s autory během dopracování návrhu.</w:t>
      </w:r>
    </w:p>
    <w:p w:rsidR="00D16A42" w:rsidRDefault="00D16A42">
      <w:pPr>
        <w:jc w:val="both"/>
      </w:pPr>
    </w:p>
    <w:p w:rsidR="00D16A42" w:rsidRDefault="00D16A42">
      <w:pPr>
        <w:jc w:val="both"/>
      </w:pPr>
    </w:p>
    <w:p w:rsidR="00D16A42" w:rsidRDefault="00000000">
      <w:pPr>
        <w:jc w:val="both"/>
        <w:rPr>
          <w:b/>
        </w:rPr>
      </w:pPr>
      <w:r>
        <w:rPr>
          <w:b/>
        </w:rPr>
        <w:t>SKICOVNÉ:</w:t>
      </w:r>
    </w:p>
    <w:p w:rsidR="00D16A42" w:rsidRDefault="00D16A42">
      <w:pPr>
        <w:jc w:val="both"/>
        <w:rPr>
          <w:b/>
        </w:rPr>
      </w:pPr>
    </w:p>
    <w:p w:rsidR="00D16A42" w:rsidRDefault="00000000">
      <w:pPr>
        <w:jc w:val="both"/>
      </w:pPr>
      <w:r>
        <w:t xml:space="preserve">Vybraným návrhům bude poskytnuto skicovné </w:t>
      </w:r>
      <w:r>
        <w:rPr>
          <w:b/>
          <w:bCs/>
        </w:rPr>
        <w:t>10 000 </w:t>
      </w:r>
      <w:r>
        <w:rPr>
          <w:b/>
        </w:rPr>
        <w:t xml:space="preserve">Kč </w:t>
      </w:r>
      <w:r>
        <w:t>na dopracování (např. vizualizace, model, multimediální přílohy, podklady pro povolovací administrativní řízení – zákresy umístění do mapových podkladů, anotace záměru, popisy projektu, technické specifikace, podrobný plán instalace a spolupráce na preprodukci…).</w:t>
      </w:r>
    </w:p>
    <w:p w:rsidR="00D16A42" w:rsidRDefault="00D16A42">
      <w:pPr>
        <w:jc w:val="both"/>
      </w:pPr>
    </w:p>
    <w:p w:rsidR="00D16A42" w:rsidRDefault="00000000">
      <w:pPr>
        <w:jc w:val="both"/>
        <w:rPr>
          <w:b/>
        </w:rPr>
      </w:pPr>
      <w:r>
        <w:rPr>
          <w:b/>
        </w:rPr>
        <w:t>LHŮTA PRO DORUČENÍ FINÁLNÍCH NÁVRHŮ A POŽADAVKY PRO 2. KOLO:</w:t>
      </w:r>
    </w:p>
    <w:p w:rsidR="00D16A42" w:rsidRDefault="00D16A42">
      <w:pPr>
        <w:jc w:val="both"/>
        <w:rPr>
          <w:b/>
        </w:rPr>
      </w:pPr>
    </w:p>
    <w:p w:rsidR="00D16A42" w:rsidRDefault="00000000">
      <w:pPr>
        <w:numPr>
          <w:ilvl w:val="0"/>
          <w:numId w:val="4"/>
        </w:numPr>
        <w:jc w:val="both"/>
      </w:pPr>
      <w:r>
        <w:t xml:space="preserve">Kdykoli </w:t>
      </w:r>
      <w:r>
        <w:rPr>
          <w:b/>
        </w:rPr>
        <w:t xml:space="preserve">do </w:t>
      </w:r>
      <w:r w:rsidR="004D48B8">
        <w:rPr>
          <w:b/>
        </w:rPr>
        <w:t>5</w:t>
      </w:r>
      <w:r>
        <w:rPr>
          <w:b/>
        </w:rPr>
        <w:t>. </w:t>
      </w:r>
      <w:r w:rsidR="004D48B8">
        <w:rPr>
          <w:b/>
        </w:rPr>
        <w:t>9</w:t>
      </w:r>
      <w:r>
        <w:rPr>
          <w:b/>
        </w:rPr>
        <w:t>. 2024 (do 24 hodin)</w:t>
      </w:r>
    </w:p>
    <w:p w:rsidR="00D16A42" w:rsidRDefault="00000000">
      <w:pPr>
        <w:numPr>
          <w:ilvl w:val="0"/>
          <w:numId w:val="4"/>
        </w:numPr>
        <w:jc w:val="both"/>
      </w:pPr>
      <w:r>
        <w:t>Forma podání finálního návrhu bude upřesněna při osobní konzultaci s autory/</w:t>
      </w:r>
      <w:proofErr w:type="spellStart"/>
      <w:r>
        <w:t>kami</w:t>
      </w:r>
      <w:proofErr w:type="spellEnd"/>
      <w:r>
        <w:t xml:space="preserve"> dle charakteru návrhu a budoucího uměleckého díla</w:t>
      </w:r>
    </w:p>
    <w:p w:rsidR="00D16A42" w:rsidRDefault="00D16A42">
      <w:pPr>
        <w:jc w:val="both"/>
      </w:pPr>
    </w:p>
    <w:p w:rsidR="00D16A42" w:rsidRDefault="00000000">
      <w:pPr>
        <w:jc w:val="both"/>
        <w:rPr>
          <w:b/>
        </w:rPr>
      </w:pPr>
      <w:r>
        <w:rPr>
          <w:b/>
        </w:rPr>
        <w:t>POVINNÉ PŘÍLOHY 2. KOLA:</w:t>
      </w:r>
    </w:p>
    <w:p w:rsidR="00D16A42" w:rsidRDefault="00D16A42">
      <w:pPr>
        <w:jc w:val="both"/>
        <w:rPr>
          <w:b/>
        </w:rPr>
      </w:pPr>
    </w:p>
    <w:p w:rsidR="00D16A42" w:rsidRDefault="00000000">
      <w:pPr>
        <w:numPr>
          <w:ilvl w:val="0"/>
          <w:numId w:val="1"/>
        </w:numPr>
        <w:jc w:val="both"/>
      </w:pPr>
      <w:r>
        <w:t>Podrobný položkový rozpočet nákladů na realizaci díla včetně autorského honoráře.</w:t>
      </w:r>
    </w:p>
    <w:p w:rsidR="00D16A42" w:rsidRDefault="00000000">
      <w:pPr>
        <w:numPr>
          <w:ilvl w:val="0"/>
          <w:numId w:val="1"/>
        </w:numPr>
        <w:jc w:val="both"/>
      </w:pPr>
      <w:r>
        <w:t>Podrobná anotace návrhu včetně potřebných podkladů pro realizaci.</w:t>
      </w:r>
    </w:p>
    <w:p w:rsidR="00D16A42" w:rsidRDefault="00000000">
      <w:pPr>
        <w:numPr>
          <w:ilvl w:val="0"/>
          <w:numId w:val="1"/>
        </w:numPr>
        <w:jc w:val="both"/>
      </w:pPr>
      <w:r>
        <w:t>Prezentace návrhu nebo jiné podklady k publikování na webových stránkách a sociálních sítích DP, GHMP, Umění pro město.</w:t>
      </w:r>
    </w:p>
    <w:p w:rsidR="00D16A42" w:rsidRDefault="00D16A42">
      <w:pPr>
        <w:jc w:val="both"/>
        <w:rPr>
          <w:b/>
        </w:rPr>
      </w:pPr>
    </w:p>
    <w:p w:rsidR="00D16A42" w:rsidRDefault="00000000">
      <w:pPr>
        <w:jc w:val="both"/>
        <w:rPr>
          <w:b/>
        </w:rPr>
      </w:pPr>
      <w:r>
        <w:rPr>
          <w:b/>
        </w:rPr>
        <w:t>HODNOCENÍ 2. KOLA:</w:t>
      </w:r>
    </w:p>
    <w:p w:rsidR="00D16A42" w:rsidRDefault="00D16A42">
      <w:pPr>
        <w:jc w:val="both"/>
        <w:rPr>
          <w:b/>
        </w:rPr>
      </w:pPr>
    </w:p>
    <w:p w:rsidR="00D16A42" w:rsidRDefault="00000000">
      <w:pPr>
        <w:jc w:val="both"/>
      </w:pPr>
      <w:r>
        <w:t>Komise ve stejném složení</w:t>
      </w:r>
      <w:r>
        <w:rPr>
          <w:b/>
        </w:rPr>
        <w:t xml:space="preserve"> </w:t>
      </w:r>
      <w:r>
        <w:t xml:space="preserve">vybere z dopracovaných návrhů ty, které doporučí k následné realizaci. Kritérii, podle nichž budou soutěžní návrhy vyhodnocovány ve 2. kole, jsou kvalita a originalita uměleckého návrhu, míra naplnění zadání, realizovatelnost a úroveň funkčního a technického řešení. Komise návrhy hodnotí na základě znalostí, odbornosti a zkušeností svých členů. Účastníci 2. kola open </w:t>
      </w:r>
      <w:proofErr w:type="spellStart"/>
      <w:r>
        <w:t>callu</w:t>
      </w:r>
      <w:proofErr w:type="spellEnd"/>
      <w:r>
        <w:t xml:space="preserve"> svou účastí v něm vyjadřují souhlas s tímto způsobem hodnocení.</w:t>
      </w:r>
    </w:p>
    <w:p w:rsidR="00D16A42" w:rsidRDefault="00D16A42">
      <w:pPr>
        <w:jc w:val="both"/>
        <w:rPr>
          <w:highlight w:val="yellow"/>
        </w:rPr>
      </w:pPr>
    </w:p>
    <w:p w:rsidR="00D16A42" w:rsidRDefault="00000000">
      <w:pPr>
        <w:jc w:val="both"/>
      </w:pPr>
      <w:r>
        <w:t>Umělecké instalace mohou zůstat exponované na místě i delší dobu (až po dobu 1 roku), pokud dojde k dohodě s vlastníky/správci konkrétních ploch a pozemků a udělení povolení k záboru od příslušných úřadů dle platné legislativy.</w:t>
      </w:r>
    </w:p>
    <w:p w:rsidR="00D16A42" w:rsidRDefault="00D16A42">
      <w:pPr>
        <w:jc w:val="both"/>
      </w:pPr>
    </w:p>
    <w:p w:rsidR="00D16A42" w:rsidRDefault="00000000">
      <w:pPr>
        <w:jc w:val="both"/>
        <w:rPr>
          <w:b/>
        </w:rPr>
      </w:pPr>
      <w:r>
        <w:rPr>
          <w:b/>
        </w:rPr>
        <w:t>FINANČNÍ PLNĚNÍ:</w:t>
      </w:r>
    </w:p>
    <w:p w:rsidR="00D16A42" w:rsidRDefault="00D16A42">
      <w:pPr>
        <w:jc w:val="both"/>
        <w:rPr>
          <w:b/>
        </w:rPr>
      </w:pPr>
    </w:p>
    <w:p w:rsidR="00D16A42" w:rsidRDefault="00000000">
      <w:pPr>
        <w:jc w:val="both"/>
      </w:pPr>
      <w:r>
        <w:t>Vítězné návrhy obdrží finanční prostředky na realizaci díla dle předloženého položkového rozpočtu nákladů na realizaci včetně autorských honorářů. Finanční prostředky budou autorům/</w:t>
      </w:r>
      <w:proofErr w:type="spellStart"/>
      <w:r>
        <w:t>kám</w:t>
      </w:r>
      <w:proofErr w:type="spellEnd"/>
      <w:r>
        <w:t xml:space="preserve"> poskytnuty na základě smlouvy o dílo.</w:t>
      </w:r>
    </w:p>
    <w:p w:rsidR="00D16A42" w:rsidRDefault="00D16A42">
      <w:pPr>
        <w:jc w:val="both"/>
      </w:pPr>
    </w:p>
    <w:p w:rsidR="00D16A42" w:rsidRDefault="00D16A42">
      <w:pPr>
        <w:jc w:val="both"/>
      </w:pPr>
    </w:p>
    <w:p w:rsidR="00D16A42" w:rsidRDefault="00D16A42">
      <w:pPr>
        <w:jc w:val="both"/>
      </w:pPr>
    </w:p>
    <w:p w:rsidR="00D16A42" w:rsidRDefault="00D16A42">
      <w:pPr>
        <w:jc w:val="both"/>
      </w:pPr>
    </w:p>
    <w:p w:rsidR="00D16A42" w:rsidRDefault="00D16A42">
      <w:pPr>
        <w:jc w:val="both"/>
      </w:pPr>
    </w:p>
    <w:p w:rsidR="00D16A42" w:rsidRDefault="00000000">
      <w:pPr>
        <w:jc w:val="both"/>
        <w:rPr>
          <w:b/>
        </w:rPr>
      </w:pPr>
      <w:r>
        <w:rPr>
          <w:b/>
        </w:rPr>
        <w:t>FOTKY A VIZUALIZACE DĚL NA STANICÍCH METRA:</w:t>
      </w:r>
    </w:p>
    <w:p w:rsidR="00D16A42" w:rsidRDefault="00D16A42">
      <w:pPr>
        <w:jc w:val="both"/>
      </w:pPr>
    </w:p>
    <w:p w:rsidR="00D16A42" w:rsidRDefault="00000000">
      <w:pPr>
        <w:jc w:val="both"/>
        <w:rPr>
          <w:u w:val="single"/>
        </w:rPr>
      </w:pPr>
      <w:r>
        <w:rPr>
          <w:u w:val="single"/>
        </w:rPr>
        <w:t>Kačerov</w:t>
      </w:r>
    </w:p>
    <w:p w:rsidR="00D16A42" w:rsidRDefault="00D16A42">
      <w:pPr>
        <w:jc w:val="both"/>
        <w:rPr>
          <w:u w:val="single"/>
        </w:rPr>
      </w:pPr>
    </w:p>
    <w:p w:rsidR="00D16A42" w:rsidRDefault="00000000">
      <w:pPr>
        <w:jc w:val="both"/>
      </w:pPr>
      <w:r>
        <w:rPr>
          <w:noProof/>
        </w:rPr>
        <w:drawing>
          <wp:inline distT="0" distB="0" distL="0" distR="0">
            <wp:extent cx="5731510" cy="4064000"/>
            <wp:effectExtent l="0" t="0" r="0" b="0"/>
            <wp:docPr id="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6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A42" w:rsidRDefault="00000000">
      <w:pPr>
        <w:jc w:val="both"/>
      </w:pPr>
      <w:r>
        <w:rPr>
          <w:noProof/>
        </w:rPr>
        <w:drawing>
          <wp:inline distT="0" distB="0" distL="0" distR="0">
            <wp:extent cx="5731510" cy="2908300"/>
            <wp:effectExtent l="0" t="0" r="0" b="0"/>
            <wp:docPr id="2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A42" w:rsidRDefault="00D16A42">
      <w:pPr>
        <w:jc w:val="both"/>
      </w:pPr>
    </w:p>
    <w:p w:rsidR="00D16A42" w:rsidRDefault="00D16A42">
      <w:pPr>
        <w:jc w:val="both"/>
      </w:pPr>
    </w:p>
    <w:p w:rsidR="00D16A42" w:rsidRDefault="00000000">
      <w:pPr>
        <w:jc w:val="both"/>
        <w:rPr>
          <w:u w:val="single"/>
        </w:rPr>
      </w:pPr>
      <w:r>
        <w:rPr>
          <w:u w:val="single"/>
        </w:rPr>
        <w:lastRenderedPageBreak/>
        <w:t>Budějovická</w:t>
      </w:r>
    </w:p>
    <w:p w:rsidR="00D16A42" w:rsidRDefault="00D16A42">
      <w:pPr>
        <w:jc w:val="both"/>
      </w:pPr>
    </w:p>
    <w:p w:rsidR="00D16A42" w:rsidRDefault="00000000">
      <w:pPr>
        <w:jc w:val="center"/>
      </w:pPr>
      <w:r>
        <w:rPr>
          <w:noProof/>
        </w:rPr>
        <w:drawing>
          <wp:inline distT="0" distB="0" distL="0" distR="0">
            <wp:extent cx="4034790" cy="3493135"/>
            <wp:effectExtent l="0" t="0" r="0" b="0"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790" cy="349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A42" w:rsidRDefault="00D16A42">
      <w:pPr>
        <w:jc w:val="both"/>
        <w:rPr>
          <w:u w:val="single"/>
        </w:rPr>
      </w:pPr>
    </w:p>
    <w:p w:rsidR="00D16A42" w:rsidRDefault="00000000">
      <w:pPr>
        <w:jc w:val="both"/>
        <w:rPr>
          <w:u w:val="single"/>
        </w:rPr>
      </w:pPr>
      <w:r>
        <w:rPr>
          <w:u w:val="single"/>
        </w:rPr>
        <w:t>Pražského povstání</w:t>
      </w:r>
    </w:p>
    <w:p w:rsidR="00CB29EC" w:rsidRDefault="00CB29EC">
      <w:pPr>
        <w:jc w:val="both"/>
        <w:rPr>
          <w:u w:val="single"/>
        </w:rPr>
      </w:pPr>
    </w:p>
    <w:p w:rsidR="00D16A42" w:rsidRDefault="00000000">
      <w:pPr>
        <w:jc w:val="center"/>
      </w:pPr>
      <w:r>
        <w:rPr>
          <w:noProof/>
        </w:rPr>
        <w:drawing>
          <wp:inline distT="0" distB="0" distL="0" distR="0">
            <wp:extent cx="4680585" cy="4224020"/>
            <wp:effectExtent l="0" t="0" r="0" b="0"/>
            <wp:docPr id="4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585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9EC" w:rsidRDefault="00CB29EC">
      <w:pPr>
        <w:jc w:val="center"/>
      </w:pPr>
    </w:p>
    <w:p w:rsidR="00D16A42" w:rsidRDefault="00000000">
      <w:pPr>
        <w:jc w:val="both"/>
        <w:rPr>
          <w:u w:val="single"/>
        </w:rPr>
      </w:pPr>
      <w:r>
        <w:rPr>
          <w:u w:val="single"/>
        </w:rPr>
        <w:lastRenderedPageBreak/>
        <w:t>Vyšehrad</w:t>
      </w:r>
    </w:p>
    <w:p w:rsidR="00D16A42" w:rsidRDefault="00D16A42">
      <w:pPr>
        <w:jc w:val="both"/>
      </w:pPr>
    </w:p>
    <w:p w:rsidR="00D16A42" w:rsidRDefault="00000000">
      <w:pPr>
        <w:jc w:val="both"/>
      </w:pPr>
      <w:r>
        <w:rPr>
          <w:noProof/>
        </w:rPr>
        <w:drawing>
          <wp:inline distT="0" distB="0" distL="0" distR="0">
            <wp:extent cx="5731510" cy="4127500"/>
            <wp:effectExtent l="0" t="0" r="0" b="0"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4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A42" w:rsidRDefault="00000000">
      <w:pPr>
        <w:jc w:val="both"/>
      </w:pPr>
      <w:r>
        <w:rPr>
          <w:noProof/>
        </w:rPr>
        <w:drawing>
          <wp:inline distT="0" distB="0" distL="0" distR="0">
            <wp:extent cx="5731510" cy="3683000"/>
            <wp:effectExtent l="0" t="0" r="0" b="0"/>
            <wp:docPr id="6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A42" w:rsidRDefault="00D16A42">
      <w:pPr>
        <w:jc w:val="both"/>
      </w:pPr>
    </w:p>
    <w:p w:rsidR="00D16A42" w:rsidRDefault="00D16A42">
      <w:pPr>
        <w:jc w:val="both"/>
      </w:pPr>
    </w:p>
    <w:p w:rsidR="00D16A42" w:rsidRDefault="00D16A42">
      <w:pPr>
        <w:jc w:val="both"/>
      </w:pPr>
    </w:p>
    <w:p w:rsidR="00D16A42" w:rsidRDefault="00000000">
      <w:pPr>
        <w:jc w:val="both"/>
        <w:rPr>
          <w:u w:val="single"/>
        </w:rPr>
      </w:pPr>
      <w:proofErr w:type="spellStart"/>
      <w:r>
        <w:rPr>
          <w:u w:val="single"/>
        </w:rPr>
        <w:lastRenderedPageBreak/>
        <w:t>I.P.Pavlova</w:t>
      </w:r>
      <w:proofErr w:type="spellEnd"/>
    </w:p>
    <w:p w:rsidR="00D16A42" w:rsidRDefault="00D16A42">
      <w:pPr>
        <w:jc w:val="both"/>
      </w:pPr>
    </w:p>
    <w:p w:rsidR="00D16A42" w:rsidRDefault="00D16A42">
      <w:pPr>
        <w:jc w:val="both"/>
      </w:pPr>
    </w:p>
    <w:p w:rsidR="00D16A42" w:rsidRDefault="00000000">
      <w:pPr>
        <w:shd w:val="clear" w:color="auto" w:fill="FFFFFF"/>
        <w:spacing w:before="80" w:after="160" w:line="240" w:lineRule="auto"/>
        <w:jc w:val="both"/>
      </w:pPr>
      <w:r>
        <w:rPr>
          <w:noProof/>
        </w:rPr>
        <w:drawing>
          <wp:inline distT="0" distB="0" distL="0" distR="0">
            <wp:extent cx="5731510" cy="2679700"/>
            <wp:effectExtent l="0" t="0" r="0" b="0"/>
            <wp:docPr id="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16A42">
      <w:pgSz w:w="11906" w:h="16838"/>
      <w:pgMar w:top="1440" w:right="1440" w:bottom="1440" w:left="1440" w:header="0" w:footer="0" w:gutter="0"/>
      <w:pgNumType w:start="1"/>
      <w:cols w:space="708"/>
      <w:formProt w:val="0"/>
      <w:docGrid w:linePitch="10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0"/>
    <w:family w:val="decorative"/>
    <w:pitch w:val="variable"/>
    <w:sig w:usb0="00000003" w:usb1="00000000" w:usb2="00000000" w:usb3="00000000" w:csb0="80000001" w:csb1="00000000"/>
  </w:font>
  <w:font w:name="OpenSymbol">
    <w:altName w:val="Arial Unicode MS"/>
    <w:panose1 w:val="020B0604020202020204"/>
    <w:charset w:val="01"/>
    <w:family w:val="auto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iberation Sans">
    <w:altName w:val="Arial"/>
    <w:panose1 w:val="020B0604020202020204"/>
    <w:charset w:val="01"/>
    <w:family w:val="swiss"/>
    <w:pitch w:val="variable"/>
  </w:font>
  <w:font w:name="PingFang SC">
    <w:panose1 w:val="020B0400000000000000"/>
    <w:charset w:val="86"/>
    <w:family w:val="swiss"/>
    <w:pitch w:val="variable"/>
    <w:sig w:usb0="A00002FF" w:usb1="7ACFFDFB" w:usb2="00000017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E5696D"/>
    <w:multiLevelType w:val="multilevel"/>
    <w:tmpl w:val="ADB68F78"/>
    <w:lvl w:ilvl="0">
      <w:start w:val="1"/>
      <w:numFmt w:val="bullet"/>
      <w:lvlText w:val="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"/>
      <w:lvlJc w:val="left"/>
      <w:pPr>
        <w:tabs>
          <w:tab w:val="num" w:pos="0"/>
        </w:tabs>
        <w:ind w:left="1440" w:hanging="360"/>
      </w:pPr>
      <w:rPr>
        <w:rFonts w:ascii="Wingdings 2" w:hAnsi="Wingdings 2" w:cs="Wingdings 2" w:hint="default"/>
      </w:rPr>
    </w:lvl>
    <w:lvl w:ilvl="2">
      <w:start w:val="1"/>
      <w:numFmt w:val="bullet"/>
      <w:lvlText w:val="■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"/>
      <w:lvlJc w:val="left"/>
      <w:pPr>
        <w:tabs>
          <w:tab w:val="num" w:pos="0"/>
        </w:tabs>
        <w:ind w:left="288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"/>
      <w:lvlJc w:val="left"/>
      <w:pPr>
        <w:tabs>
          <w:tab w:val="num" w:pos="0"/>
        </w:tabs>
        <w:ind w:left="3600" w:hanging="360"/>
      </w:pPr>
      <w:rPr>
        <w:rFonts w:ascii="Wingdings 2" w:hAnsi="Wingdings 2" w:cs="Wingdings 2" w:hint="default"/>
      </w:rPr>
    </w:lvl>
    <w:lvl w:ilvl="5">
      <w:start w:val="1"/>
      <w:numFmt w:val="bullet"/>
      <w:lvlText w:val="■"/>
      <w:lvlJc w:val="left"/>
      <w:pPr>
        <w:tabs>
          <w:tab w:val="num" w:pos="0"/>
        </w:tabs>
        <w:ind w:left="43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"/>
      <w:lvlJc w:val="left"/>
      <w:pPr>
        <w:tabs>
          <w:tab w:val="num" w:pos="0"/>
        </w:tabs>
        <w:ind w:left="504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"/>
      <w:lvlJc w:val="left"/>
      <w:pPr>
        <w:tabs>
          <w:tab w:val="num" w:pos="0"/>
        </w:tabs>
        <w:ind w:left="5760" w:hanging="360"/>
      </w:pPr>
      <w:rPr>
        <w:rFonts w:ascii="Wingdings 2" w:hAnsi="Wingdings 2" w:cs="Wingdings 2" w:hint="default"/>
      </w:rPr>
    </w:lvl>
    <w:lvl w:ilvl="8">
      <w:start w:val="1"/>
      <w:numFmt w:val="bullet"/>
      <w:lvlText w:val="■"/>
      <w:lvlJc w:val="left"/>
      <w:pPr>
        <w:tabs>
          <w:tab w:val="num" w:pos="0"/>
        </w:tabs>
        <w:ind w:left="6480" w:hanging="360"/>
      </w:pPr>
      <w:rPr>
        <w:rFonts w:ascii="OpenSymbol" w:hAnsi="OpenSymbol" w:cs="OpenSymbol" w:hint="default"/>
      </w:rPr>
    </w:lvl>
  </w:abstractNum>
  <w:abstractNum w:abstractNumId="1" w15:restartNumberingAfterBreak="0">
    <w:nsid w:val="201907C7"/>
    <w:multiLevelType w:val="multilevel"/>
    <w:tmpl w:val="3ED86D44"/>
    <w:lvl w:ilvl="0">
      <w:start w:val="1"/>
      <w:numFmt w:val="bullet"/>
      <w:lvlText w:val="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"/>
      <w:lvlJc w:val="left"/>
      <w:pPr>
        <w:tabs>
          <w:tab w:val="num" w:pos="0"/>
        </w:tabs>
        <w:ind w:left="1440" w:hanging="360"/>
      </w:pPr>
      <w:rPr>
        <w:rFonts w:ascii="Wingdings 2" w:hAnsi="Wingdings 2" w:cs="Wingdings 2" w:hint="default"/>
      </w:rPr>
    </w:lvl>
    <w:lvl w:ilvl="2">
      <w:start w:val="1"/>
      <w:numFmt w:val="bullet"/>
      <w:lvlText w:val="■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"/>
      <w:lvlJc w:val="left"/>
      <w:pPr>
        <w:tabs>
          <w:tab w:val="num" w:pos="0"/>
        </w:tabs>
        <w:ind w:left="288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"/>
      <w:lvlJc w:val="left"/>
      <w:pPr>
        <w:tabs>
          <w:tab w:val="num" w:pos="0"/>
        </w:tabs>
        <w:ind w:left="3600" w:hanging="360"/>
      </w:pPr>
      <w:rPr>
        <w:rFonts w:ascii="Wingdings 2" w:hAnsi="Wingdings 2" w:cs="Wingdings 2" w:hint="default"/>
      </w:rPr>
    </w:lvl>
    <w:lvl w:ilvl="5">
      <w:start w:val="1"/>
      <w:numFmt w:val="bullet"/>
      <w:lvlText w:val="■"/>
      <w:lvlJc w:val="left"/>
      <w:pPr>
        <w:tabs>
          <w:tab w:val="num" w:pos="0"/>
        </w:tabs>
        <w:ind w:left="43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"/>
      <w:lvlJc w:val="left"/>
      <w:pPr>
        <w:tabs>
          <w:tab w:val="num" w:pos="0"/>
        </w:tabs>
        <w:ind w:left="504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"/>
      <w:lvlJc w:val="left"/>
      <w:pPr>
        <w:tabs>
          <w:tab w:val="num" w:pos="0"/>
        </w:tabs>
        <w:ind w:left="5760" w:hanging="360"/>
      </w:pPr>
      <w:rPr>
        <w:rFonts w:ascii="Wingdings 2" w:hAnsi="Wingdings 2" w:cs="Wingdings 2" w:hint="default"/>
      </w:rPr>
    </w:lvl>
    <w:lvl w:ilvl="8">
      <w:start w:val="1"/>
      <w:numFmt w:val="bullet"/>
      <w:lvlText w:val="■"/>
      <w:lvlJc w:val="left"/>
      <w:pPr>
        <w:tabs>
          <w:tab w:val="num" w:pos="0"/>
        </w:tabs>
        <w:ind w:left="6480" w:hanging="360"/>
      </w:pPr>
      <w:rPr>
        <w:rFonts w:ascii="OpenSymbol" w:hAnsi="OpenSymbol" w:cs="OpenSymbol" w:hint="default"/>
      </w:rPr>
    </w:lvl>
  </w:abstractNum>
  <w:abstractNum w:abstractNumId="2" w15:restartNumberingAfterBreak="0">
    <w:nsid w:val="4E391900"/>
    <w:multiLevelType w:val="multilevel"/>
    <w:tmpl w:val="B5D8AC7E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OpenSymbol" w:hAnsi="OpenSymbol" w:cs="OpenSymbol" w:hint="default"/>
      </w:rPr>
    </w:lvl>
    <w:lvl w:ilvl="1">
      <w:start w:val="1"/>
      <w:numFmt w:val="bullet"/>
      <w:lvlText w:val="-"/>
      <w:lvlJc w:val="left"/>
      <w:pPr>
        <w:tabs>
          <w:tab w:val="num" w:pos="0"/>
        </w:tabs>
        <w:ind w:left="144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-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-"/>
      <w:lvlJc w:val="left"/>
      <w:pPr>
        <w:tabs>
          <w:tab w:val="num" w:pos="0"/>
        </w:tabs>
        <w:ind w:left="2880" w:hanging="360"/>
      </w:pPr>
      <w:rPr>
        <w:rFonts w:ascii="OpenSymbol" w:hAnsi="OpenSymbol" w:cs="OpenSymbol" w:hint="default"/>
      </w:rPr>
    </w:lvl>
    <w:lvl w:ilvl="4">
      <w:start w:val="1"/>
      <w:numFmt w:val="bullet"/>
      <w:lvlText w:val="-"/>
      <w:lvlJc w:val="left"/>
      <w:pPr>
        <w:tabs>
          <w:tab w:val="num" w:pos="0"/>
        </w:tabs>
        <w:ind w:left="360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-"/>
      <w:lvlJc w:val="left"/>
      <w:pPr>
        <w:tabs>
          <w:tab w:val="num" w:pos="0"/>
        </w:tabs>
        <w:ind w:left="43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-"/>
      <w:lvlJc w:val="left"/>
      <w:pPr>
        <w:tabs>
          <w:tab w:val="num" w:pos="0"/>
        </w:tabs>
        <w:ind w:left="5040" w:hanging="360"/>
      </w:pPr>
      <w:rPr>
        <w:rFonts w:ascii="OpenSymbol" w:hAnsi="OpenSymbol" w:cs="OpenSymbol" w:hint="default"/>
      </w:rPr>
    </w:lvl>
    <w:lvl w:ilvl="7">
      <w:start w:val="1"/>
      <w:numFmt w:val="bullet"/>
      <w:lvlText w:val="-"/>
      <w:lvlJc w:val="left"/>
      <w:pPr>
        <w:tabs>
          <w:tab w:val="num" w:pos="0"/>
        </w:tabs>
        <w:ind w:left="576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-"/>
      <w:lvlJc w:val="left"/>
      <w:pPr>
        <w:tabs>
          <w:tab w:val="num" w:pos="0"/>
        </w:tabs>
        <w:ind w:left="6480" w:hanging="360"/>
      </w:pPr>
      <w:rPr>
        <w:rFonts w:ascii="OpenSymbol" w:hAnsi="OpenSymbol" w:cs="OpenSymbol" w:hint="default"/>
      </w:rPr>
    </w:lvl>
  </w:abstractNum>
  <w:abstractNum w:abstractNumId="3" w15:restartNumberingAfterBreak="0">
    <w:nsid w:val="53BF1589"/>
    <w:multiLevelType w:val="multilevel"/>
    <w:tmpl w:val="C038B99C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OpenSymbol" w:hAnsi="OpenSymbol" w:cs="OpenSymbol" w:hint="default"/>
      </w:rPr>
    </w:lvl>
    <w:lvl w:ilvl="1">
      <w:start w:val="1"/>
      <w:numFmt w:val="bullet"/>
      <w:lvlText w:val="-"/>
      <w:lvlJc w:val="left"/>
      <w:pPr>
        <w:tabs>
          <w:tab w:val="num" w:pos="0"/>
        </w:tabs>
        <w:ind w:left="144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-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-"/>
      <w:lvlJc w:val="left"/>
      <w:pPr>
        <w:tabs>
          <w:tab w:val="num" w:pos="0"/>
        </w:tabs>
        <w:ind w:left="2880" w:hanging="360"/>
      </w:pPr>
      <w:rPr>
        <w:rFonts w:ascii="OpenSymbol" w:hAnsi="OpenSymbol" w:cs="OpenSymbol" w:hint="default"/>
      </w:rPr>
    </w:lvl>
    <w:lvl w:ilvl="4">
      <w:start w:val="1"/>
      <w:numFmt w:val="bullet"/>
      <w:lvlText w:val="-"/>
      <w:lvlJc w:val="left"/>
      <w:pPr>
        <w:tabs>
          <w:tab w:val="num" w:pos="0"/>
        </w:tabs>
        <w:ind w:left="360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-"/>
      <w:lvlJc w:val="left"/>
      <w:pPr>
        <w:tabs>
          <w:tab w:val="num" w:pos="0"/>
        </w:tabs>
        <w:ind w:left="43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-"/>
      <w:lvlJc w:val="left"/>
      <w:pPr>
        <w:tabs>
          <w:tab w:val="num" w:pos="0"/>
        </w:tabs>
        <w:ind w:left="5040" w:hanging="360"/>
      </w:pPr>
      <w:rPr>
        <w:rFonts w:ascii="OpenSymbol" w:hAnsi="OpenSymbol" w:cs="OpenSymbol" w:hint="default"/>
      </w:rPr>
    </w:lvl>
    <w:lvl w:ilvl="7">
      <w:start w:val="1"/>
      <w:numFmt w:val="bullet"/>
      <w:lvlText w:val="-"/>
      <w:lvlJc w:val="left"/>
      <w:pPr>
        <w:tabs>
          <w:tab w:val="num" w:pos="0"/>
        </w:tabs>
        <w:ind w:left="576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-"/>
      <w:lvlJc w:val="left"/>
      <w:pPr>
        <w:tabs>
          <w:tab w:val="num" w:pos="0"/>
        </w:tabs>
        <w:ind w:left="6480" w:hanging="360"/>
      </w:pPr>
      <w:rPr>
        <w:rFonts w:ascii="OpenSymbol" w:hAnsi="OpenSymbol" w:cs="OpenSymbol" w:hint="default"/>
      </w:rPr>
    </w:lvl>
  </w:abstractNum>
  <w:abstractNum w:abstractNumId="4" w15:restartNumberingAfterBreak="0">
    <w:nsid w:val="7EEE3DED"/>
    <w:multiLevelType w:val="multilevel"/>
    <w:tmpl w:val="F988836E"/>
    <w:lvl w:ilvl="0">
      <w:start w:val="1"/>
      <w:numFmt w:val="bullet"/>
      <w:lvlText w:val="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"/>
      <w:lvlJc w:val="left"/>
      <w:pPr>
        <w:tabs>
          <w:tab w:val="num" w:pos="0"/>
        </w:tabs>
        <w:ind w:left="1440" w:hanging="360"/>
      </w:pPr>
      <w:rPr>
        <w:rFonts w:ascii="Wingdings 2" w:hAnsi="Wingdings 2" w:cs="Wingdings 2" w:hint="default"/>
      </w:rPr>
    </w:lvl>
    <w:lvl w:ilvl="2">
      <w:start w:val="1"/>
      <w:numFmt w:val="bullet"/>
      <w:lvlText w:val="■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"/>
      <w:lvlJc w:val="left"/>
      <w:pPr>
        <w:tabs>
          <w:tab w:val="num" w:pos="0"/>
        </w:tabs>
        <w:ind w:left="288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"/>
      <w:lvlJc w:val="left"/>
      <w:pPr>
        <w:tabs>
          <w:tab w:val="num" w:pos="0"/>
        </w:tabs>
        <w:ind w:left="3600" w:hanging="360"/>
      </w:pPr>
      <w:rPr>
        <w:rFonts w:ascii="Wingdings 2" w:hAnsi="Wingdings 2" w:cs="Wingdings 2" w:hint="default"/>
      </w:rPr>
    </w:lvl>
    <w:lvl w:ilvl="5">
      <w:start w:val="1"/>
      <w:numFmt w:val="bullet"/>
      <w:lvlText w:val="■"/>
      <w:lvlJc w:val="left"/>
      <w:pPr>
        <w:tabs>
          <w:tab w:val="num" w:pos="0"/>
        </w:tabs>
        <w:ind w:left="43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"/>
      <w:lvlJc w:val="left"/>
      <w:pPr>
        <w:tabs>
          <w:tab w:val="num" w:pos="0"/>
        </w:tabs>
        <w:ind w:left="504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"/>
      <w:lvlJc w:val="left"/>
      <w:pPr>
        <w:tabs>
          <w:tab w:val="num" w:pos="0"/>
        </w:tabs>
        <w:ind w:left="5760" w:hanging="360"/>
      </w:pPr>
      <w:rPr>
        <w:rFonts w:ascii="Wingdings 2" w:hAnsi="Wingdings 2" w:cs="Wingdings 2" w:hint="default"/>
      </w:rPr>
    </w:lvl>
    <w:lvl w:ilvl="8">
      <w:start w:val="1"/>
      <w:numFmt w:val="bullet"/>
      <w:lvlText w:val="■"/>
      <w:lvlJc w:val="left"/>
      <w:pPr>
        <w:tabs>
          <w:tab w:val="num" w:pos="0"/>
        </w:tabs>
        <w:ind w:left="6480" w:hanging="360"/>
      </w:pPr>
      <w:rPr>
        <w:rFonts w:ascii="OpenSymbol" w:hAnsi="OpenSymbol" w:cs="OpenSymbol" w:hint="default"/>
      </w:rPr>
    </w:lvl>
  </w:abstractNum>
  <w:abstractNum w:abstractNumId="5" w15:restartNumberingAfterBreak="0">
    <w:nsid w:val="7F413061"/>
    <w:multiLevelType w:val="multilevel"/>
    <w:tmpl w:val="6660D076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 w16cid:durableId="421143899">
    <w:abstractNumId w:val="1"/>
  </w:num>
  <w:num w:numId="2" w16cid:durableId="1397511487">
    <w:abstractNumId w:val="2"/>
  </w:num>
  <w:num w:numId="3" w16cid:durableId="519122281">
    <w:abstractNumId w:val="3"/>
  </w:num>
  <w:num w:numId="4" w16cid:durableId="1594363579">
    <w:abstractNumId w:val="0"/>
  </w:num>
  <w:num w:numId="5" w16cid:durableId="1224026300">
    <w:abstractNumId w:val="4"/>
  </w:num>
  <w:num w:numId="6" w16cid:durableId="73493238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autoHyphenation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6A42"/>
    <w:rsid w:val="00234328"/>
    <w:rsid w:val="004D48B8"/>
    <w:rsid w:val="009E58F4"/>
    <w:rsid w:val="00C23291"/>
    <w:rsid w:val="00CB29EC"/>
    <w:rsid w:val="00CC70D6"/>
    <w:rsid w:val="00D16A42"/>
    <w:rsid w:val="00DE51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05FBDF2"/>
  <w15:docId w15:val="{4EFEE83B-6ACB-EA4D-8EF8-D744ED181D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cs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pacing w:line="276" w:lineRule="auto"/>
    </w:pPr>
  </w:style>
  <w:style w:type="paragraph" w:styleId="Nadpis1">
    <w:name w:val="heading 1"/>
    <w:basedOn w:val="Normln"/>
    <w:next w:val="Normln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dpis2">
    <w:name w:val="heading 2"/>
    <w:basedOn w:val="Normln"/>
    <w:next w:val="Normln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dpis3">
    <w:name w:val="heading 3"/>
    <w:basedOn w:val="Normln"/>
    <w:next w:val="Normln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dpis4">
    <w:name w:val="heading 4"/>
    <w:basedOn w:val="Normln"/>
    <w:next w:val="Normln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dpis5">
    <w:name w:val="heading 5"/>
    <w:basedOn w:val="Normln"/>
    <w:next w:val="Normln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Nadpis6">
    <w:name w:val="heading 6"/>
    <w:basedOn w:val="Normln"/>
    <w:next w:val="Normln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Internetovodkaz">
    <w:name w:val="Internetový odkaz"/>
    <w:rPr>
      <w:color w:val="000080"/>
      <w:u w:val="single"/>
    </w:rPr>
  </w:style>
  <w:style w:type="paragraph" w:customStyle="1" w:styleId="Nadpis">
    <w:name w:val="Nadpis"/>
    <w:basedOn w:val="Normln"/>
    <w:next w:val="Zkladntext"/>
    <w:qFormat/>
    <w:pPr>
      <w:keepNext/>
      <w:spacing w:before="240" w:after="120"/>
    </w:pPr>
    <w:rPr>
      <w:rFonts w:ascii="Liberation Sans" w:eastAsia="PingFang SC" w:hAnsi="Liberation Sans" w:cs="Arial Unicode MS"/>
      <w:sz w:val="28"/>
      <w:szCs w:val="28"/>
    </w:rPr>
  </w:style>
  <w:style w:type="paragraph" w:styleId="Zkladntext">
    <w:name w:val="Body Text"/>
    <w:basedOn w:val="Normln"/>
    <w:pPr>
      <w:spacing w:after="140"/>
    </w:pPr>
  </w:style>
  <w:style w:type="paragraph" w:styleId="Seznam">
    <w:name w:val="List"/>
    <w:basedOn w:val="Zkladntext"/>
    <w:rPr>
      <w:rFonts w:cs="Arial Unicode MS"/>
    </w:rPr>
  </w:style>
  <w:style w:type="paragraph" w:styleId="Titulek">
    <w:name w:val="caption"/>
    <w:basedOn w:val="Normln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Rejstk">
    <w:name w:val="Rejstřík"/>
    <w:basedOn w:val="Normln"/>
    <w:qFormat/>
    <w:pPr>
      <w:suppressLineNumbers/>
    </w:pPr>
    <w:rPr>
      <w:rFonts w:cs="Arial Unicode MS"/>
    </w:rPr>
  </w:style>
  <w:style w:type="paragraph" w:customStyle="1" w:styleId="LO-normal">
    <w:name w:val="LO-normal"/>
    <w:qFormat/>
    <w:pPr>
      <w:spacing w:line="276" w:lineRule="auto"/>
    </w:pPr>
  </w:style>
  <w:style w:type="paragraph" w:styleId="Nzev">
    <w:name w:val="Title"/>
    <w:basedOn w:val="Normln"/>
    <w:next w:val="Normln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Podnadpis">
    <w:name w:val="Subtitle"/>
    <w:basedOn w:val="LO-normal"/>
    <w:next w:val="LO-normal"/>
    <w:uiPriority w:val="11"/>
    <w:qFormat/>
    <w:pPr>
      <w:keepNext/>
      <w:keepLines/>
      <w:spacing w:after="320" w:line="240" w:lineRule="auto"/>
    </w:pPr>
    <w:rPr>
      <w:color w:val="666666"/>
      <w:sz w:val="30"/>
      <w:szCs w:val="30"/>
    </w:rPr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forum.umenipromesto.eu/umeni-pro-mesto/galerie-vltavska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hyperlink" Target="https://www.ghmp.cz/vystavy/umeni-za-carou/" TargetMode="Externa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mailto:umenipromesto@ghmp.cz" TargetMode="External"/><Relationship Id="rId11" Type="http://schemas.openxmlformats.org/officeDocument/2006/relationships/hyperlink" Target="https://forum.umenipromesto.eu/verejny-prostor/svetlo-pro-metro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10" Type="http://schemas.openxmlformats.org/officeDocument/2006/relationships/hyperlink" Target="https://umenipromesto.eu/prispevky/54-muralart-um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forum.umenipromesto.eu/umeni-pro-mesto/adam-turecek-minula-budoucnost-previous-future" TargetMode="External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j4MqQB1G6UJMYKfDgrd4RdTZcdBg==">CgMxLjA4AHIhMVRrQ2l0M0Y4WU1RcV9NWXBkRXZiYW9CMWthVkZwajN3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8</Pages>
  <Words>1340</Words>
  <Characters>7909</Characters>
  <Application>Microsoft Office Word</Application>
  <DocSecurity>0</DocSecurity>
  <Lines>65</Lines>
  <Paragraphs>18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lastModifiedBy>Anna Gümplová</cp:lastModifiedBy>
  <cp:revision>6</cp:revision>
  <dcterms:created xsi:type="dcterms:W3CDTF">2023-07-17T08:29:00Z</dcterms:created>
  <dcterms:modified xsi:type="dcterms:W3CDTF">2024-05-28T12:51:00Z</dcterms:modified>
  <dc:language>cs-CZ</dc:language>
</cp:coreProperties>
</file>